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Памятка для родителей (для обучающегося</w:t>
      </w:r>
      <w:r>
        <w:rPr>
          <w:rFonts w:ascii="Times New Roman" w:hAnsi="Times New Roman"/>
          <w:b w:val="1"/>
          <w:sz w:val="24"/>
        </w:rPr>
        <w:t xml:space="preserve"> 11 класса</w:t>
      </w:r>
      <w:r>
        <w:rPr>
          <w:rFonts w:ascii="Times New Roman" w:hAnsi="Times New Roman"/>
          <w:b w:val="1"/>
          <w:sz w:val="24"/>
        </w:rPr>
        <w:t>)</w:t>
      </w:r>
    </w:p>
    <w:p w14:paraId="02000000">
      <w:pPr>
        <w:pStyle w:val="Style_1"/>
        <w:numPr>
          <w:ilvl w:val="0"/>
          <w:numId w:val="1"/>
        </w:numPr>
        <w:spacing w:line="240" w:lineRule="auto"/>
        <w:ind w:firstLine="0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До 30.01.2025 определиться с выбором экзаменов вместе с ребенком.</w:t>
      </w:r>
    </w:p>
    <w:p w14:paraId="03000000">
      <w:pPr>
        <w:pStyle w:val="Style_1"/>
        <w:numPr>
          <w:ilvl w:val="0"/>
          <w:numId w:val="1"/>
        </w:numPr>
        <w:spacing w:line="240" w:lineRule="auto"/>
        <w:ind w:firstLine="0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До 30.01.2025 подать заявление в школу. </w:t>
      </w:r>
    </w:p>
    <w:p w14:paraId="04000000">
      <w:pPr>
        <w:pStyle w:val="Style_1"/>
        <w:numPr>
          <w:ilvl w:val="0"/>
          <w:numId w:val="1"/>
        </w:numPr>
        <w:spacing w:line="240" w:lineRule="auto"/>
        <w:ind w:firstLine="0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Даты экзаменов (основной период)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color w:val="FF0000"/>
          <w:sz w:val="24"/>
        </w:rPr>
        <w:t>ПРОЕКТ</w:t>
      </w:r>
      <w:r>
        <w:rPr>
          <w:rFonts w:ascii="Times New Roman" w:hAnsi="Times New Roman"/>
          <w:b w:val="1"/>
          <w:color w:val="FF0000"/>
          <w:sz w:val="24"/>
        </w:rPr>
        <w:t>:</w:t>
      </w:r>
    </w:p>
    <w:p w14:paraId="05000000">
      <w:pPr>
        <w:pStyle w:val="Style_1"/>
        <w:numPr>
          <w:ilvl w:val="0"/>
          <w:numId w:val="2"/>
        </w:numPr>
        <w:spacing w:after="0" w:before="220" w:line="240" w:lineRule="auto"/>
        <w:ind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23 мая (пятница) – история, литература, химия;</w:t>
      </w:r>
    </w:p>
    <w:p w14:paraId="06000000">
      <w:pPr>
        <w:pStyle w:val="Style_1"/>
        <w:numPr>
          <w:ilvl w:val="0"/>
          <w:numId w:val="2"/>
        </w:numPr>
        <w:spacing w:after="0" w:before="220" w:line="240" w:lineRule="auto"/>
        <w:ind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27 мая (вторник) – ЕГЭ по математике базового уровня, ЕГЭ по математике профильного уровня;</w:t>
      </w:r>
    </w:p>
    <w:p w14:paraId="07000000">
      <w:pPr>
        <w:pStyle w:val="Style_1"/>
        <w:numPr>
          <w:ilvl w:val="0"/>
          <w:numId w:val="2"/>
        </w:numPr>
        <w:spacing w:after="0" w:before="220" w:line="240" w:lineRule="auto"/>
        <w:ind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30 мая (пятница) – русский язык;</w:t>
      </w:r>
    </w:p>
    <w:p w14:paraId="08000000">
      <w:pPr>
        <w:pStyle w:val="Style_1"/>
        <w:numPr>
          <w:ilvl w:val="0"/>
          <w:numId w:val="2"/>
        </w:numPr>
        <w:spacing w:after="0" w:before="220" w:line="240" w:lineRule="auto"/>
        <w:ind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2 июня (понедельник) – обществознание, физика;</w:t>
      </w:r>
    </w:p>
    <w:p w14:paraId="09000000">
      <w:pPr>
        <w:pStyle w:val="Style_1"/>
        <w:numPr>
          <w:ilvl w:val="0"/>
          <w:numId w:val="2"/>
        </w:numPr>
        <w:spacing w:after="0" w:before="220" w:line="240" w:lineRule="auto"/>
        <w:ind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5 июня (четверг) – биология, география, иностранные языки (английский, испанский, китайский, немецкий, французский) (письменная часть);</w:t>
      </w:r>
    </w:p>
    <w:p w14:paraId="0A000000">
      <w:pPr>
        <w:pStyle w:val="Style_1"/>
        <w:numPr>
          <w:ilvl w:val="0"/>
          <w:numId w:val="2"/>
        </w:numPr>
        <w:spacing w:after="0" w:before="220" w:line="240" w:lineRule="auto"/>
        <w:ind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10 июня (вторник) – иностранные языки (английский, испанский, китайский, немецкий, французский) (устная часть), информатика;</w:t>
      </w:r>
    </w:p>
    <w:p w14:paraId="0B000000">
      <w:pPr>
        <w:pStyle w:val="Style_1"/>
        <w:numPr>
          <w:ilvl w:val="0"/>
          <w:numId w:val="2"/>
        </w:numPr>
        <w:spacing w:after="0" w:before="220" w:line="240" w:lineRule="auto"/>
        <w:ind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11 июня (среда) – иностранные языки (английский, испанский, китайский, немецкий, французский) (устная часть), информатика.</w:t>
      </w:r>
    </w:p>
    <w:p w14:paraId="0C000000">
      <w:pPr>
        <w:spacing w:after="0" w:before="220" w:line="240" w:lineRule="auto"/>
        <w:ind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Даты досрочного и дополнительного период</w:t>
      </w:r>
      <w:r>
        <w:rPr>
          <w:rFonts w:ascii="Times New Roman" w:hAnsi="Times New Roman"/>
          <w:i w:val="1"/>
          <w:sz w:val="24"/>
        </w:rPr>
        <w:t>ов при необходимости</w:t>
      </w:r>
      <w:r>
        <w:rPr>
          <w:rFonts w:ascii="Times New Roman" w:hAnsi="Times New Roman"/>
          <w:i w:val="1"/>
          <w:sz w:val="24"/>
        </w:rPr>
        <w:t xml:space="preserve"> уточняем у завуча. </w:t>
      </w:r>
    </w:p>
    <w:p w14:paraId="0D000000">
      <w:pPr>
        <w:pStyle w:val="Style_1"/>
        <w:spacing w:line="240" w:lineRule="auto"/>
        <w:ind w:firstLine="0" w:left="0"/>
        <w:jc w:val="both"/>
        <w:rPr>
          <w:rFonts w:ascii="Times New Roman" w:hAnsi="Times New Roman"/>
          <w:b w:val="1"/>
          <w:sz w:val="24"/>
        </w:rPr>
      </w:pPr>
    </w:p>
    <w:p w14:paraId="0E000000">
      <w:pPr>
        <w:pStyle w:val="Style_1"/>
        <w:numPr>
          <w:ilvl w:val="0"/>
          <w:numId w:val="1"/>
        </w:numPr>
        <w:spacing w:line="240" w:lineRule="auto"/>
        <w:ind w:firstLine="0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Начало экзаменов</w:t>
      </w:r>
    </w:p>
    <w:p w14:paraId="0F00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ЕГЭ по всем учебным предметам начинается в 10.00 по местному времени.</w:t>
      </w:r>
    </w:p>
    <w:p w14:paraId="10000000">
      <w:pPr>
        <w:pStyle w:val="Style_1"/>
        <w:numPr>
          <w:ilvl w:val="0"/>
          <w:numId w:val="1"/>
        </w:numPr>
        <w:spacing w:line="240" w:lineRule="auto"/>
        <w:ind w:firstLine="0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Продолжительность экзаменов:</w:t>
      </w:r>
    </w:p>
    <w:p w14:paraId="11000000">
      <w:pPr>
        <w:pStyle w:val="Style_1"/>
        <w:numPr>
          <w:ilvl w:val="0"/>
          <w:numId w:val="3"/>
        </w:num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биологии, информатике, литературе, математике профильного уровня, физике составляет 3 часа 55 минут (235 минут); </w:t>
      </w:r>
    </w:p>
    <w:p w14:paraId="12000000">
      <w:pPr>
        <w:pStyle w:val="Style_1"/>
        <w:numPr>
          <w:ilvl w:val="0"/>
          <w:numId w:val="3"/>
        </w:num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истории, обществознанию, русскому языку, химии – 3 часа 30 минут (210 минут); </w:t>
      </w:r>
    </w:p>
    <w:p w14:paraId="13000000">
      <w:pPr>
        <w:pStyle w:val="Style_1"/>
        <w:numPr>
          <w:ilvl w:val="0"/>
          <w:numId w:val="3"/>
        </w:num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иностранным языкам (английский, испанский, немецкий, французский) (письменная часть) – 3 часа 10 минут (190 минут); </w:t>
      </w:r>
    </w:p>
    <w:p w14:paraId="14000000">
      <w:pPr>
        <w:pStyle w:val="Style_1"/>
        <w:numPr>
          <w:ilvl w:val="0"/>
          <w:numId w:val="3"/>
        </w:num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географии, иностранному языку (китайский) (письменная часть), математике базового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уровня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часа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 xml:space="preserve">180 минут); </w:t>
      </w:r>
    </w:p>
    <w:p w14:paraId="15000000">
      <w:pPr>
        <w:pStyle w:val="Style_1"/>
        <w:numPr>
          <w:ilvl w:val="0"/>
          <w:numId w:val="3"/>
        </w:num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иностранным языкам (английский, испанский, немецкий, французский) (устная часть) – 17 минут; </w:t>
      </w:r>
    </w:p>
    <w:p w14:paraId="16000000">
      <w:pPr>
        <w:pStyle w:val="Style_1"/>
        <w:numPr>
          <w:ilvl w:val="0"/>
          <w:numId w:val="3"/>
        </w:num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иностранному языку (китайский) (устная часть) – 14 минут.</w:t>
      </w:r>
    </w:p>
    <w:p w14:paraId="17000000">
      <w:pPr>
        <w:pStyle w:val="Style_1"/>
        <w:numPr>
          <w:ilvl w:val="0"/>
          <w:numId w:val="1"/>
        </w:numPr>
        <w:spacing w:line="240" w:lineRule="auto"/>
        <w:ind w:firstLine="0" w:lef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Допустимые средства обучения и воспитания </w:t>
      </w:r>
      <w:r>
        <w:rPr>
          <w:rFonts w:ascii="Times New Roman" w:hAnsi="Times New Roman"/>
          <w:b w:val="1"/>
          <w:sz w:val="24"/>
        </w:rPr>
        <w:br/>
      </w:r>
      <w:r>
        <w:rPr>
          <w:rFonts w:ascii="Times New Roman" w:hAnsi="Times New Roman"/>
          <w:b w:val="1"/>
          <w:sz w:val="24"/>
        </w:rPr>
        <w:t>для выполнения заданий контрольных измерительных материалов</w:t>
      </w:r>
    </w:p>
    <w:p w14:paraId="18000000">
      <w:pPr>
        <w:spacing w:after="0" w:before="22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Допускается использование участниками экзаменов следующих средств обучения и воспитания по соответствующим учебным предметам:</w:t>
      </w:r>
    </w:p>
    <w:p w14:paraId="19000000">
      <w:pPr>
        <w:pStyle w:val="Style_1"/>
        <w:numPr>
          <w:ilvl w:val="0"/>
          <w:numId w:val="4"/>
        </w:numPr>
        <w:spacing w:after="0" w:before="220" w:line="240" w:lineRule="auto"/>
        <w:ind w:hanging="426" w:left="0"/>
        <w:jc w:val="both"/>
        <w:rPr>
          <w:rFonts w:ascii="Times New Roman" w:hAnsi="Times New Roman"/>
          <w:sz w:val="24"/>
        </w:rPr>
      </w:pPr>
      <w:bookmarkStart w:id="1" w:name="_GoBack"/>
      <w:r>
        <w:rPr>
          <w:rFonts w:ascii="Times New Roman" w:hAnsi="Times New Roman"/>
          <w:sz w:val="24"/>
        </w:rPr>
        <w:t>по биологии –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r>
        <w:rPr>
          <w:rFonts w:ascii="Times New Roman" w:hAnsi="Times New Roman"/>
          <w:sz w:val="24"/>
        </w:rPr>
        <w:t>sin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cos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tg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ctg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arcsin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arccos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arctg</w:t>
      </w:r>
      <w:r>
        <w:rPr>
          <w:rFonts w:ascii="Times New Roman" w:hAnsi="Times New Roman"/>
          <w:sz w:val="24"/>
        </w:rPr>
        <w:t xml:space="preserve">), при этом не осуществляющий функции средства связи, хранилища базы данных и не имеющий доступа к сетям передачи данных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(в том числе к информационно-телекоммуникационной сети «Интернет»)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(далее – непрограммируемый калькулятор);</w:t>
      </w:r>
    </w:p>
    <w:p w14:paraId="1A000000">
      <w:pPr>
        <w:pStyle w:val="Style_1"/>
        <w:numPr>
          <w:ilvl w:val="0"/>
          <w:numId w:val="4"/>
        </w:numPr>
        <w:spacing w:after="0" w:before="220" w:line="240" w:lineRule="auto"/>
        <w:ind w:hanging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географии – непрограммируемый калькулятор;</w:t>
      </w:r>
    </w:p>
    <w:p w14:paraId="1B000000">
      <w:pPr>
        <w:pStyle w:val="Style_1"/>
        <w:numPr>
          <w:ilvl w:val="0"/>
          <w:numId w:val="4"/>
        </w:numPr>
        <w:spacing w:after="0" w:before="220" w:line="240" w:lineRule="auto"/>
        <w:ind w:hanging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иностранным языкам (английский, испанский, китайский, немецкий, французский) – технические средства, обеспечивающие воспроизведение аудиозаписей, содержащихся на электронных носителях, для выполнения заданий раздела «Аудирование» КИМ; компьютерная техника, не имеющая доступа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к информационно-телекоммуникационной сети «Интернет»; </w:t>
      </w:r>
      <w:r>
        <w:rPr>
          <w:rFonts w:ascii="Times New Roman" w:hAnsi="Times New Roman"/>
          <w:sz w:val="24"/>
        </w:rPr>
        <w:t>аудиогарнитура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для выполнения заданий КИМ, предусматривающих устные ответы;</w:t>
      </w:r>
    </w:p>
    <w:p w14:paraId="1C000000">
      <w:pPr>
        <w:pStyle w:val="Style_1"/>
        <w:numPr>
          <w:ilvl w:val="0"/>
          <w:numId w:val="4"/>
        </w:numPr>
        <w:spacing w:after="0" w:before="220" w:line="240" w:lineRule="auto"/>
        <w:ind w:hanging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информатике – компьютерная техника, не имеющая доступа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к информационно-телекоммуникационной сети «Интернет», с установленным программным обеспечением, предоставляющим возможность работы с редакторами электронных таблиц, текстовыми редакторами, средами программирования;</w:t>
      </w:r>
    </w:p>
    <w:p w14:paraId="1D000000">
      <w:pPr>
        <w:pStyle w:val="Style_1"/>
        <w:numPr>
          <w:ilvl w:val="0"/>
          <w:numId w:val="4"/>
        </w:numPr>
        <w:spacing w:after="0" w:before="220" w:line="240" w:lineRule="auto"/>
        <w:ind w:hanging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литературе – орфографический словарь, позволяющий устанавливать нормативное написание слов;</w:t>
      </w:r>
    </w:p>
    <w:p w14:paraId="1E000000">
      <w:pPr>
        <w:pStyle w:val="Style_1"/>
        <w:numPr>
          <w:ilvl w:val="0"/>
          <w:numId w:val="4"/>
        </w:numPr>
        <w:spacing w:after="0" w:before="220" w:line="240" w:lineRule="auto"/>
        <w:ind w:hanging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математике – линейка, не содержащая справочной информации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(далее – линейка), для построения чертежей и рисунков;</w:t>
      </w:r>
    </w:p>
    <w:p w14:paraId="1F000000">
      <w:pPr>
        <w:pStyle w:val="Style_1"/>
        <w:numPr>
          <w:ilvl w:val="0"/>
          <w:numId w:val="4"/>
        </w:numPr>
        <w:spacing w:after="0" w:before="220" w:line="240" w:lineRule="auto"/>
        <w:ind w:hanging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физике – линейка для построения графиков и схем; непрограммируемый калькулятор;</w:t>
      </w:r>
    </w:p>
    <w:p w14:paraId="20000000">
      <w:pPr>
        <w:pStyle w:val="Style_1"/>
        <w:numPr>
          <w:ilvl w:val="0"/>
          <w:numId w:val="4"/>
        </w:numPr>
        <w:spacing w:after="0" w:before="220" w:line="240" w:lineRule="auto"/>
        <w:ind w:hanging="426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по химии – непрограммируемый калькулятор; Периодическая система химических элементов Д.И. Менделеева; таблица растворимости солей, кислот и оснований в воде; электрохимический ряд напряжений металлов.</w:t>
      </w:r>
      <w:bookmarkEnd w:id="1"/>
    </w:p>
    <w:p w14:paraId="21000000">
      <w:pPr>
        <w:rPr>
          <w:rFonts w:ascii="Times New Roman" w:hAnsi="Times New Roman"/>
          <w:sz w:val="28"/>
        </w:rPr>
      </w:pPr>
    </w:p>
    <w:p w14:paraId="22000000">
      <w:pPr>
        <w:rPr>
          <w:rFonts w:ascii="Times New Roman" w:hAnsi="Times New Roman"/>
          <w:b w:val="1"/>
          <w:i w:val="1"/>
          <w:sz w:val="24"/>
          <w:u w:val="single"/>
        </w:rPr>
      </w:pPr>
      <w:r>
        <w:rPr>
          <w:rFonts w:ascii="Times New Roman" w:hAnsi="Times New Roman"/>
          <w:b w:val="1"/>
          <w:i w:val="1"/>
          <w:sz w:val="24"/>
          <w:u w:val="single"/>
        </w:rPr>
        <w:t>Дополнительно:</w:t>
      </w:r>
    </w:p>
    <w:p w14:paraId="23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каждый экзамен берем с собой паспорт, ручку черного цвета (</w:t>
      </w:r>
      <w:r>
        <w:rPr>
          <w:rFonts w:ascii="Times New Roman" w:hAnsi="Times New Roman"/>
          <w:sz w:val="24"/>
        </w:rPr>
        <w:t>гелевая</w:t>
      </w:r>
      <w:r>
        <w:rPr>
          <w:rFonts w:ascii="Times New Roman" w:hAnsi="Times New Roman"/>
          <w:sz w:val="24"/>
        </w:rPr>
        <w:t xml:space="preserve"> или </w:t>
      </w:r>
      <w:r>
        <w:rPr>
          <w:rFonts w:ascii="Times New Roman" w:hAnsi="Times New Roman"/>
          <w:sz w:val="24"/>
        </w:rPr>
        <w:t>капилярная</w:t>
      </w:r>
      <w:r>
        <w:rPr>
          <w:rFonts w:ascii="Times New Roman" w:hAnsi="Times New Roman"/>
          <w:sz w:val="24"/>
        </w:rPr>
        <w:t xml:space="preserve">). </w:t>
      </w:r>
    </w:p>
    <w:p w14:paraId="24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Телефон оставляем дома. Связь держим с сопровождающим учителем (приказ будет накануне экзамена).</w:t>
      </w:r>
    </w:p>
    <w:p w14:paraId="25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Форма одежды – деловая. </w:t>
      </w:r>
    </w:p>
    <w:p w14:paraId="26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Сбор в школе в 7.30. Транспортировка до ППЭ организованная. </w:t>
      </w:r>
    </w:p>
    <w:p w14:paraId="27000000">
      <w:pPr>
        <w:rPr>
          <w:rFonts w:ascii="Times New Roman" w:hAnsi="Times New Roman"/>
          <w:sz w:val="24"/>
        </w:rPr>
      </w:pPr>
    </w:p>
    <w:p w14:paraId="28000000">
      <w:pPr>
        <w:rPr>
          <w:rFonts w:ascii="Times New Roman" w:hAnsi="Times New Roman"/>
          <w:sz w:val="24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bullet"/>
      <w:lvlText w:val=""/>
      <w:lvlJc w:val="left"/>
      <w:pPr>
        <w:ind w:hanging="360" w:left="108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80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52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24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9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68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40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12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840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lvl w:ilvl="0">
      <w:start w:val="1"/>
      <w:numFmt w:val="bullet"/>
      <w:lvlText w:val=""/>
      <w:lvlJc w:val="left"/>
      <w:pPr>
        <w:ind w:hanging="360" w:left="1429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1" w:type="paragraph">
    <w:name w:val="List Paragraph"/>
    <w:basedOn w:val="Style_2"/>
    <w:link w:val="Style_1_ch"/>
    <w:pPr>
      <w:ind w:firstLine="0" w:left="720"/>
      <w:contextualSpacing w:val="1"/>
    </w:pPr>
  </w:style>
  <w:style w:styleId="Style_1_ch" w:type="character">
    <w:name w:val="List Paragraph"/>
    <w:basedOn w:val="Style_2_ch"/>
    <w:link w:val="Style_1"/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2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2024-11-05T14:02:07Z</dcterms:modified>
</cp:coreProperties>
</file>